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39 vom 15. September 2025</w:t>
      </w:r>
    </w:p>
    <w:p>
      <w:r>
        <w:t>VS Kantonsgericht, 2025-09-15, FR</w:t>
      </w:r>
    </w:p>
    <w:p>
      <w:r>
        <w:rPr>
          <w:b/>
        </w:rPr>
        <w:t xml:space="preserve">Quelle: </w:t>
      </w:r>
      <w:r>
        <w:t>https://mcp.opencaselaw.ch/entscheid/vs_gerichte_S2 24 39</w:t>
      </w:r>
    </w:p>
    <w:p>
      <w:r>
        <w:t>FR: VS_GERICHTE S2 24 39 du 15 septembre 2025</w:t>
      </w:r>
    </w:p>
    <w:p>
      <w:r>
        <w:t>IT: VS_GERICHTE S2 24 39 del 15 settembre 2025</w:t>
      </w:r>
    </w:p>
    <w:p>
      <w:pPr>
        <w:pStyle w:val="Heading2"/>
      </w:pPr>
      <w:r>
        <w:t>Regeste</w:t>
      </w:r>
    </w:p>
    <w:p>
      <w:r>
        <w:t>S2 24 39 ARRÊT DU 15 SEPTEMBRE 2025 Tribunal cantonal du Valais Cour des assurances sociales Composition : Candido Prada, président ; Frédéric Fellay et Christophe Joris, juges ; Delphine Rey, greffière en la cause X _________, recourant, représenté par les Syndicats Chrétiens Interprofessionnels du Valais, Sierre contre CAISSE NATIONALE SUISSE D'ASSURANCE EN CAS D'ACCIDENTS (CNA), intimée (lien de causalité naturelle, valeur probante)</w:t>
      </w:r>
    </w:p>
    <w:p>
      <w:pPr>
        <w:pStyle w:val="Heading2"/>
      </w:pPr>
      <w:r>
        <w:t>Erwägungen</w:t>
      </w:r>
    </w:p>
    <w:p>
      <w:r>
        <w:rPr>
          <w:b/>
        </w:rPr>
        <w:t>E. 1</w:t>
      </w:r>
    </w:p>
    <w:p>
      <w:r>
        <w:t>Selon l'article 1 alinéa 1 de la LAA, les dispositions de la LPGA s'appliquent à l'assurance-accidents, à moins que la LAA n'y déroge expressément. Posté le 10 mai 2024, le présent recours contre de la décision sur opposition du 10 avril précédent a été interjeté dans le délai légal de trente jours (art. 60 LPGA) devant l'instance compétente (art. 56, 57 et 58 LPGA ; art. 81a al. 1 LPJA). Il répond par ailleurs aux autres conditions formelles de recevabilité (art. 61 let. b LPGA), de sorte que la Cour doit entrer en matière.</w:t>
      </w:r>
    </w:p>
    <w:p>
      <w:r>
        <w:rPr>
          <w:b/>
        </w:rPr>
        <w:t>E. 2</w:t>
      </w:r>
    </w:p>
    <w:p>
      <w:r>
        <w:t>Le présent litige porte sur le droit du recourant à des prestations de l’assurance- accidents au-delà du 22 décembre 2023 pour les suites de l’accident du 21 septembre précédent.</w:t>
      </w:r>
    </w:p>
    <w:p>
      <w:r>
        <w:rPr>
          <w:b/>
        </w:rPr>
        <w:t>E. 3.1</w:t>
      </w:r>
    </w:p>
    <w:p>
      <w:r>
        <w:t>et 129 V 402 consid. 4.3.1 avec les références). En vertu de l'article 36 alinéa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(statu quo ante ou statu quo sine) sur le critère de la vraisemblance prépondérante, usuel en matière de preuve dans le domaine des assurances sociales (ATF 139 V 176 consid. 5.3 et 135 V 39 consid. 6.1 avec les références), étant précisé que le fardeau de la preuve de la disparition du lien de causalité appartient à la partie qui invoque la suppression du droit, soit à l'assureur (ATF 146 V 51 consid. 5.1 et les références ; arrêt du Tribunal fédéral 8C_686/2024 du 4 avril 2025 consid. 3.1.2). Le seul fait que des symptômes douloureux ne se sont manifestés qu'après la survenance d'un accident ne suffit pas à établir un rapport de causalité naturelle avec cet accident (raisonnement post hoc ergo propter hoc ; ATF 142 V 235 consid. 2.3.2.2 et 119 V 335 consid. 2b/bb ; arrêt du Tribunal fédéral 8C_315/2023 du 9 janvier 2024 consid. 3.2).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arrêt du Tribunal fédéral 8C_169/2019 du 10 mars 2020 consid. 5.3).</w:t>
      </w:r>
    </w:p>
    <w:p>
      <w:r>
        <w:rPr>
          <w:b/>
        </w:rPr>
        <w:t>E. 3.2</w:t>
      </w:r>
    </w:p>
    <w:p>
      <w:r>
        <w:t>Selon le principe de la libre appréciation des preuves, le juge apprécie librement les preuves médicales qu'il a recueillies, sans être lié par des règles formelles, en procédant</w:t>
      </w:r>
    </w:p>
    <w:p>
      <w:r>
        <w:t>- 7 - à une appréciation complète et rigoureuse des preuves. En ce qui concerne la valeur probante d'un rapport médical, ce qui est déterminant 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134 V 231 consid. 5.1, 125 V 351 consid. 3a p. 352 ; arrêt du Tribunal fédéral 8C_75/2017du 24 octobre 2017 consid. 3.4 et les références). En présence d’avis médicaux contradictoires, le juge doit apprécier l’ensemble des preuves à disposition et indiquer les motifs pour lesquels il se fonde sur une appréciation plutôt que sur une autre.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 arrêt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(arrêts du Tribunal fédéral 8C_650/2023 du 19 mars 2024 consid. 5.1, 9C_876/2009 du 6 juillet 2010 consid. 2.2).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w:t>
      </w:r>
    </w:p>
    <w:p>
      <w:r>
        <w:t>- 8 - références). Quant aux rapports émanant des médecins traitants, le juge peut et doit même tenir compte du fait relevant de l'expérience que, de par sa position de confident privilégié que lui confère son mandat, le médecin traitant tranchera dans le doute en faveur de son patient (ATF 125 V 351 consid. 3b/cc et les références). Dans le domaine des assurances sociales, l'autorité fonde généralement sa décision sur les faits qui, faute d'être établis de manière irréfutable, apparaissent comme les plus vraisemblables, c'est-à-dire qui présentent un degré de vraisemblance prépondérante (ATF 135 V 39 consid. 6.1).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126 V 353 consid. 5b ; voir également ATF 133 III 81 consid. 4.2.2). En droit des assurances sociales, il n'existe par conséquent pas de principe selon lequel l'administration ou le juge devrait statuer, dans le doute, en faveur de l'assuré ; le défaut de preuve va au détriment de la partie qui entendait tirer un droit du fait non prouvé (ATF 126 V 319 consid. 5a).</w:t>
      </w:r>
    </w:p>
    <w:p>
      <w:r>
        <w:rPr>
          <w:b/>
        </w:rPr>
        <w:t>E. 4</w:t>
      </w:r>
    </w:p>
    <w:p>
      <w:r>
        <w:t>En l’espèce, l’intimée s’est fondée sur l’avis de son médecin-conseil pour mettre un terme au versement des prestations d’assurance au 22 décembre 2023, au motif que le statu quo sine vel ante avait été atteint. La Cour considère que l’appréciation du 18 décembre 2023 du Dr C _________ remplit les critères posés par la jurisprudence pour la valeur probante d’un rapport médical. Ce médecin a tenu compte des rapports médicaux figurant au dossier et de l’anamnèse du recourant. Il a en outre pris en considération les plaintes de l’assuré. Les conclusions sont claires et motivées. Il a notamment indiqué que l’assuré avait présenté une ancienne fracture du scaphoïde, qui avait été traitée chirurgicalement et qui avait évolué vers un état dégénératif majeur. Il a retenu que l’accident du 21 septembre 2023 n’avait pas été responsable de lésion structurelle nouvelle pouvant aboutir à une aggravation déterminante de l’état dégénératif préexistant. Le médecin d’arrondissement a conclu que la persistance de symptômes au-delà d’une période de trois mois suivant l’événement du 21 septembre 2023 ne pouvait plus lui être attribuée mais devait être recherchée dans l’élément dégénératif préexistant. Le recourant se fonde sur l’avis de son médecin traitant, le Dr B _________, pour mettre en doute les conclusions du Dr C _________. Contrairement à ce que prétend le</w:t>
      </w:r>
    </w:p>
    <w:p>
      <w:r>
        <w:t>- 9 - recourant, le fait que le Dr B _________ indique que les douleurs persistantes du poignet droit sont consécutives au traumatisme du 21 septembre 2023, respectivement d’origine traumatique, ne signifie pas encore qu’elles sont dues à l’accident précité. On rappellera que le raisonnement du type « post hoc ergo propter hoc » (après l'accident, donc à cause de l'accident) est insuffisant à établir un lien de causalité naturelle avec l’accident (cf. consid. 3.1 supra). Le Dr B _________ ne conteste d’ailleurs pas que l’événement de septembre 2023 est survenu sur un poignet qui avait déjà été traumatisé et qui avait fait l’objet d’une opération en 1997. Le recourant n’apporte pas d’autres éléments qui seraient de nature à mettre en doute l’appréciation du 18 décembre 2023 du Dr C _________, laquelle revêt une pleine valeur probante.</w:t>
      </w:r>
    </w:p>
    <w:p>
      <w:r>
        <w:rPr>
          <w:b/>
        </w:rPr>
        <w:t>E. 5</w:t>
      </w:r>
    </w:p>
    <w:p>
      <w:r>
        <w:t>Mal fondé, le recours est rejeté et la décision sur opposition du 10 avril 2024 confirmant la décision du 19 décembre précédent mettant fin aux prestations au 22 décembre 2023 est confirmée. Le dossier étant suffisamment clair et probant, il n’y a pas lieu de mettre en œuvre de plus amples mesures d’instruction, telle que l’expertise requise par le recourant (sur l’appréciation anticipée des preuves : ATF 145 I 167 consid. 4.1).</w:t>
      </w:r>
    </w:p>
    <w:p>
      <w:r>
        <w:rPr>
          <w:b/>
        </w:rPr>
        <w:t>E. 6</w:t>
      </w:r>
    </w:p>
    <w:p>
      <w:r>
        <w:t>Il n’est pas perçu de frais (art. 61 let. fbis LPGA), la loi spéciale, en l’occurrence la LAA, ne prévoyant pas le prélèvement de frais. Vu l’issue de la cause, il n’est pas alloué de dépens (art. 61 let. g LPGA a contrario).</w:t>
      </w:r>
    </w:p>
    <w:p>
      <w:r>
        <w:t>Prononce</w:t>
      </w:r>
    </w:p>
    <w:p>
      <w:r>
        <w:t>1. Le recours est rejeté. 2. Il n'est pas perçu de frais, ni alloué de dépens. Sion, le 15 septembre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